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3024.0000000000005"/>
        <w:gridCol w:w="3024.0000000000005"/>
        <w:gridCol w:w="3024.0000000000005"/>
        <w:tblGridChange w:id="0">
          <w:tblGrid>
            <w:gridCol w:w="1065"/>
            <w:gridCol w:w="3024.0000000000005"/>
            <w:gridCol w:w="3024.0000000000005"/>
            <w:gridCol w:w="3024.0000000000005"/>
          </w:tblGrid>
        </w:tblGridChange>
      </w:tblGrid>
      <w:tr>
        <w:tc>
          <w:tcPr>
            <w:tcBorders>
              <w:top w:color="b8b4ab" w:space="0" w:sz="8" w:val="single"/>
              <w:left w:color="b8b4ab" w:space="0" w:sz="8" w:val="single"/>
              <w:bottom w:color="b8b4ab" w:space="0" w:sz="8" w:val="single"/>
              <w:right w:color="ffffff" w:space="0" w:sz="8" w:val="single"/>
            </w:tcBorders>
            <w:shd w:fill="b8b4a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STEP#</w:t>
            </w:r>
          </w:p>
        </w:tc>
        <w:tc>
          <w:tcPr>
            <w:tcBorders>
              <w:top w:color="b8b4ab" w:space="0" w:sz="8" w:val="single"/>
              <w:left w:color="ffffff" w:space="0" w:sz="8" w:val="single"/>
              <w:bottom w:color="b8b4ab" w:space="0" w:sz="8" w:val="single"/>
              <w:right w:color="ffffff" w:space="0" w:sz="8" w:val="single"/>
            </w:tcBorders>
            <w:shd w:fill="b8b4a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INTERNAL</w:t>
            </w:r>
          </w:p>
        </w:tc>
        <w:tc>
          <w:tcPr>
            <w:tcBorders>
              <w:top w:color="b8b4ab" w:space="0" w:sz="8" w:val="single"/>
              <w:left w:color="ffffff" w:space="0" w:sz="8" w:val="single"/>
              <w:bottom w:color="b8b4ab" w:space="0" w:sz="8" w:val="single"/>
              <w:right w:color="ffffff" w:space="0" w:sz="8" w:val="single"/>
            </w:tcBorders>
            <w:shd w:fill="b8b4a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EXTERNAL</w:t>
            </w:r>
          </w:p>
        </w:tc>
        <w:tc>
          <w:tcPr>
            <w:tcBorders>
              <w:top w:color="b8b4ab" w:space="0" w:sz="8" w:val="single"/>
              <w:left w:color="ffffff" w:space="0" w:sz="8" w:val="single"/>
              <w:bottom w:color="b8b4ab" w:space="0" w:sz="8" w:val="single"/>
              <w:right w:color="b8b4ab" w:space="0" w:sz="8" w:val="single"/>
            </w:tcBorders>
            <w:shd w:fill="b8b4a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WHY</w:t>
            </w:r>
          </w:p>
        </w:tc>
      </w:tr>
      <w:tr>
        <w:tc>
          <w:tcPr>
            <w:tcBorders>
              <w:top w:color="b8b4ab" w:space="0" w:sz="8" w:val="single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b8b4ab" w:space="0" w:sz="8" w:val="single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single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sign up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on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website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single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All content &amp; communication is housed on website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Website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saves 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to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database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+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sends confirmation email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to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[A]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receive confirmation email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[A]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Website automates this entire step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open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from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email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Confirmation email has call to action button to complete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complete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Software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Onboarding materials were created in Software before website had required features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Software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documents completion of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to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database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[A]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For tracking Customers prepared to begin course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downloads list of customer signups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from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website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Not possible to automatically email report to Instructor on website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downloads list of completed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from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Software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Haven’t set up auto report feature in Software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combines customer lists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a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spreadsheet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to create list of late 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Not sure whether there’s a way to auto-feed the list from the website into Software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sends reminder email to any late Customers 3 days before deadline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Gmail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Ensure Customers complete onboarding. Current Software plan doesn’t include automatic reminders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Late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complete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Software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checks late Customers have completed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Software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on deadline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Haven’t set up auto email notifications in Software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sends cancellation email to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6aa8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6aa8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who missed deadline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Gmail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who missed deadline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receive cancellation email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[A]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Courses become unwieldy when customers haven’t completed onboarding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Instructor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sends welcome email to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6aa8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6aa84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who completed onboarding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in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f8c427"/>
                <w:sz w:val="20"/>
                <w:szCs w:val="20"/>
                <w:rtl w:val="0"/>
              </w:rPr>
              <w:t xml:space="preserve">Gmail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[M]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aecad1"/>
                <w:sz w:val="20"/>
                <w:szCs w:val="20"/>
                <w:rtl w:val="0"/>
              </w:rPr>
              <w:t xml:space="preserve">Customers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rtl w:val="0"/>
              </w:rPr>
              <w:t xml:space="preserve"> who completed onboarding 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20"/>
                <w:szCs w:val="20"/>
                <w:u w:val="single"/>
                <w:rtl w:val="0"/>
              </w:rPr>
              <w:t xml:space="preserve">receive welcome email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[A]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Inform customers of what to expect next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  <w:rtl w:val="0"/>
              </w:rPr>
              <w:t xml:space="preserve">Current Software plan doesn’t include auto confirmation</w:t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b8b4ab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8b4ab" w:space="0" w:sz="8" w:val="dashed"/>
              <w:left w:color="b8b4ab" w:space="0" w:sz="8" w:val="single"/>
              <w:bottom w:color="b8b4ab" w:space="0" w:sz="8" w:val="dashed"/>
              <w:right w:color="b8b4a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Pro" w:cs="Source Sans Pro" w:eastAsia="Source Sans Pro" w:hAnsi="Source Sans Pro"/>
                <w:i w:val="1"/>
                <w:color w:val="b8b4a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20" w:footer="720"/>
      <w:pgNumType w:start="1"/>
      <w:cols w:equalWidth="0" w:num="1">
        <w:col w:space="0" w:w="10080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Thin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jc w:val="right"/>
      <w:rPr>
        <w:rFonts w:ascii="Montserrat" w:cs="Montserrat" w:eastAsia="Montserrat" w:hAnsi="Montserrat"/>
        <w:color w:val="b8b4ab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b8b4ab"/>
        <w:sz w:val="20"/>
        <w:szCs w:val="20"/>
        <w:rtl w:val="0"/>
      </w:rPr>
      <w:t xml:space="preserve">LEX+SAN •</w:t>
    </w:r>
    <w:r w:rsidDel="00000000" w:rsidR="00000000" w:rsidRPr="00000000">
      <w:rPr>
        <w:rFonts w:ascii="Montserrat" w:cs="Montserrat" w:eastAsia="Montserrat" w:hAnsi="Montserrat"/>
        <w:color w:val="b8b4ab"/>
        <w:sz w:val="20"/>
        <w:szCs w:val="20"/>
        <w:rtl w:val="0"/>
      </w:rPr>
      <w:t xml:space="preserve"> TEMPLATE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right"/>
      <w:rPr/>
    </w:pPr>
    <w:r w:rsidDel="00000000" w:rsidR="00000000" w:rsidRPr="00000000">
      <w:rPr>
        <w:rFonts w:ascii="Montserrat" w:cs="Montserrat" w:eastAsia="Montserrat" w:hAnsi="Montserrat"/>
        <w:b w:val="1"/>
        <w:color w:val="b8b4ab"/>
        <w:sz w:val="20"/>
        <w:szCs w:val="20"/>
        <w:rtl w:val="0"/>
      </w:rPr>
      <w:t xml:space="preserve">LEX+SAN •</w:t>
    </w:r>
    <w:r w:rsidDel="00000000" w:rsidR="00000000" w:rsidRPr="00000000">
      <w:rPr>
        <w:rFonts w:ascii="Montserrat" w:cs="Montserrat" w:eastAsia="Montserrat" w:hAnsi="Montserrat"/>
        <w:color w:val="b8b4ab"/>
        <w:sz w:val="20"/>
        <w:szCs w:val="20"/>
        <w:rtl w:val="0"/>
      </w:rPr>
      <w:t xml:space="preserve"> TEMPLATE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rPr>
        <w:rFonts w:ascii="Montserrat" w:cs="Montserrat" w:eastAsia="Montserrat" w:hAnsi="Montserrat"/>
        <w:color w:val="b8b4ab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color w:val="b8b4ab"/>
        <w:sz w:val="20"/>
        <w:szCs w:val="20"/>
        <w:rtl w:val="0"/>
      </w:rPr>
      <w:t xml:space="preserve">PROCESS MAP • </w:t>
    </w:r>
    <w:r w:rsidDel="00000000" w:rsidR="00000000" w:rsidRPr="00000000">
      <w:rPr>
        <w:rFonts w:ascii="Montserrat" w:cs="Montserrat" w:eastAsia="Montserrat" w:hAnsi="Montserrat"/>
        <w:color w:val="b8b4ab"/>
        <w:sz w:val="20"/>
        <w:szCs w:val="20"/>
        <w:rtl w:val="0"/>
      </w:rPr>
      <w:t xml:space="preserve">[Process Name]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Style w:val="Title"/>
      <w:rPr>
        <w:rFonts w:ascii="Montserrat Medium" w:cs="Montserrat Medium" w:eastAsia="Montserrat Medium" w:hAnsi="Montserrat Medium"/>
        <w:sz w:val="30"/>
        <w:szCs w:val="30"/>
      </w:rPr>
    </w:pPr>
    <w:bookmarkStart w:colFirst="0" w:colLast="0" w:name="_vn515o2o35gs" w:id="0"/>
    <w:bookmarkEnd w:id="0"/>
    <w:r w:rsidDel="00000000" w:rsidR="00000000" w:rsidRPr="00000000">
      <w:rPr>
        <w:rFonts w:ascii="Montserrat" w:cs="Montserrat" w:eastAsia="Montserrat" w:hAnsi="Montserrat"/>
        <w:b w:val="1"/>
        <w:sz w:val="30"/>
        <w:szCs w:val="30"/>
        <w:rtl w:val="0"/>
      </w:rPr>
      <w:t xml:space="preserve">PR</w:t>
    </w:r>
    <w:r w:rsidDel="00000000" w:rsidR="00000000" w:rsidRPr="00000000">
      <w:rPr>
        <w:sz w:val="30"/>
        <w:szCs w:val="30"/>
        <w:rtl w:val="0"/>
      </w:rPr>
      <w:t xml:space="preserve">O</w:t>
    </w:r>
    <w:r w:rsidDel="00000000" w:rsidR="00000000" w:rsidRPr="00000000">
      <w:rPr>
        <w:rFonts w:ascii="Montserrat" w:cs="Montserrat" w:eastAsia="Montserrat" w:hAnsi="Montserrat"/>
        <w:b w:val="1"/>
        <w:sz w:val="30"/>
        <w:szCs w:val="30"/>
        <w:rtl w:val="0"/>
      </w:rPr>
      <w:t xml:space="preserve">CESS MAP • </w:t>
    </w:r>
    <w:r w:rsidDel="00000000" w:rsidR="00000000" w:rsidRPr="00000000">
      <w:rPr>
        <w:rFonts w:ascii="Montserrat Medium" w:cs="Montserrat Medium" w:eastAsia="Montserrat Medium" w:hAnsi="Montserrat Medium"/>
        <w:sz w:val="30"/>
        <w:szCs w:val="30"/>
        <w:rtl w:val="0"/>
      </w:rPr>
      <w:t xml:space="preserve">[Process Name]</w:t>
    </w:r>
  </w:p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/>
      <w:drawing>
        <wp:inline distB="114300" distT="114300" distL="114300" distR="114300">
          <wp:extent cx="6400800" cy="1079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800" cy="1079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</w:pPr>
    <w:rPr>
      <w:rFonts w:ascii="Montserrat Thin" w:cs="Montserrat Thin" w:eastAsia="Montserrat Thin" w:hAnsi="Montserrat Thin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</w:pPr>
    <w:rPr>
      <w:rFonts w:ascii="Montserrat" w:cs="Montserrat" w:eastAsia="Montserrat" w:hAnsi="Montserrat"/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</w:pPr>
    <w:rPr>
      <w:rFonts w:ascii="Montserrat" w:cs="Montserrat" w:eastAsia="Montserrat" w:hAnsi="Montserrat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</w:pPr>
    <w:rPr>
      <w:rFonts w:ascii="Montserrat Thin" w:cs="Montserrat Thin" w:eastAsia="Montserrat Thin" w:hAnsi="Montserrat Thin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Montserrat" w:cs="Montserrat" w:eastAsia="Montserrat" w:hAnsi="Montserrat"/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Montserrat" w:cs="Montserrat" w:eastAsia="Montserrat" w:hAnsi="Montserrat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3" Type="http://schemas.openxmlformats.org/officeDocument/2006/relationships/font" Target="fonts/MontserratThin-regular.ttf"/><Relationship Id="rId12" Type="http://schemas.openxmlformats.org/officeDocument/2006/relationships/font" Target="fonts/SourceSansPro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SourceSansPro-regular.ttf"/><Relationship Id="rId15" Type="http://schemas.openxmlformats.org/officeDocument/2006/relationships/font" Target="fonts/MontserratThin-italic.ttf"/><Relationship Id="rId14" Type="http://schemas.openxmlformats.org/officeDocument/2006/relationships/font" Target="fonts/MontserratThin-bold.ttf"/><Relationship Id="rId16" Type="http://schemas.openxmlformats.org/officeDocument/2006/relationships/font" Target="fonts/MontserratThin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